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0CDB8" w14:textId="77777777" w:rsidR="003A0B47" w:rsidRPr="004B376F" w:rsidRDefault="003A0B47" w:rsidP="000D57DA">
      <w:pPr>
        <w:numPr>
          <w:ilvl w:val="0"/>
          <w:numId w:val="11"/>
        </w:numPr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376F">
        <w:rPr>
          <w:rFonts w:ascii="Arial" w:hAnsi="Arial" w:cs="Arial"/>
          <w:bCs/>
          <w:spacing w:val="-3"/>
          <w:sz w:val="22"/>
          <w:szCs w:val="22"/>
        </w:rPr>
        <w:t xml:space="preserve">In July 2018, the Premier and Minister for Trade announced an inquiry into the procurement of Queensland’s New Generation Rollingstock (NGR) and </w:t>
      </w:r>
      <w:r>
        <w:rPr>
          <w:rFonts w:ascii="Arial" w:hAnsi="Arial" w:cs="Arial"/>
          <w:bCs/>
          <w:spacing w:val="-3"/>
          <w:sz w:val="22"/>
          <w:szCs w:val="22"/>
        </w:rPr>
        <w:t>its</w:t>
      </w:r>
      <w:r w:rsidRPr="004B376F">
        <w:rPr>
          <w:rFonts w:ascii="Arial" w:hAnsi="Arial" w:cs="Arial"/>
          <w:bCs/>
          <w:spacing w:val="-3"/>
          <w:sz w:val="22"/>
          <w:szCs w:val="22"/>
        </w:rPr>
        <w:t xml:space="preserve"> failure to comply with disability legislation. On 1 August 2018, the </w:t>
      </w:r>
      <w:r>
        <w:rPr>
          <w:rFonts w:ascii="Arial" w:hAnsi="Arial" w:cs="Arial"/>
          <w:bCs/>
          <w:spacing w:val="-3"/>
          <w:sz w:val="22"/>
          <w:szCs w:val="22"/>
        </w:rPr>
        <w:t>I</w:t>
      </w:r>
      <w:r w:rsidRPr="004B376F">
        <w:rPr>
          <w:rFonts w:ascii="Arial" w:hAnsi="Arial" w:cs="Arial"/>
          <w:bCs/>
          <w:spacing w:val="-3"/>
          <w:sz w:val="22"/>
          <w:szCs w:val="22"/>
        </w:rPr>
        <w:t xml:space="preserve">nquiry and its terms of reference were established under </w:t>
      </w:r>
      <w:r w:rsidRPr="004B376F">
        <w:rPr>
          <w:rFonts w:ascii="Arial" w:hAnsi="Arial" w:cs="Arial"/>
          <w:bCs/>
          <w:i/>
          <w:spacing w:val="-3"/>
          <w:sz w:val="22"/>
          <w:szCs w:val="22"/>
        </w:rPr>
        <w:t>Commission of Inquiry Order (No.1) 2018</w:t>
      </w:r>
      <w:r w:rsidRPr="004B376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480CDB9" w14:textId="7790E871" w:rsidR="003A0B47" w:rsidRPr="0064011C" w:rsidRDefault="003A0B47" w:rsidP="000D57DA">
      <w:pPr>
        <w:pStyle w:val="ListParagraph"/>
        <w:widowControl w:val="0"/>
        <w:numPr>
          <w:ilvl w:val="0"/>
          <w:numId w:val="11"/>
        </w:numPr>
        <w:tabs>
          <w:tab w:val="left" w:pos="582"/>
        </w:tabs>
        <w:autoSpaceDE w:val="0"/>
        <w:autoSpaceDN w:val="0"/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B376F">
        <w:rPr>
          <w:rFonts w:ascii="Arial" w:hAnsi="Arial" w:cs="Arial"/>
          <w:sz w:val="22"/>
          <w:szCs w:val="22"/>
        </w:rPr>
        <w:t xml:space="preserve">In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December 2018,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the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NGR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Train </w:t>
      </w:r>
      <w:r w:rsidRPr="004B376F">
        <w:rPr>
          <w:rFonts w:ascii="Arial" w:hAnsi="Arial" w:cs="Arial"/>
          <w:bCs/>
          <w:spacing w:val="-3"/>
          <w:sz w:val="22"/>
          <w:szCs w:val="22"/>
        </w:rPr>
        <w:t>Commission of Inquiry (Commission of Inquiry) presented the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Premier and Minister for Trade with its final report, and the Premier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tabled </w:t>
      </w:r>
      <w:r w:rsidRPr="004B376F">
        <w:rPr>
          <w:rFonts w:ascii="Arial" w:hAnsi="Arial" w:cs="Arial"/>
          <w:sz w:val="22"/>
          <w:szCs w:val="22"/>
        </w:rPr>
        <w:t xml:space="preserve">the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government response </w:t>
      </w:r>
      <w:r w:rsidRPr="004B376F">
        <w:rPr>
          <w:rFonts w:ascii="Arial" w:hAnsi="Arial" w:cs="Arial"/>
          <w:sz w:val="22"/>
          <w:szCs w:val="22"/>
        </w:rPr>
        <w:t xml:space="preserve">to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the Commission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of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Inquiry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final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report, accepting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all </w:t>
      </w:r>
      <w:r w:rsidRPr="004B376F">
        <w:rPr>
          <w:rFonts w:ascii="Arial" w:hAnsi="Arial" w:cs="Arial"/>
          <w:sz w:val="22"/>
          <w:szCs w:val="22"/>
        </w:rPr>
        <w:t>24</w:t>
      </w:r>
      <w:r w:rsidR="000D57DA">
        <w:rPr>
          <w:rFonts w:ascii="Arial" w:hAnsi="Arial" w:cs="Arial"/>
          <w:sz w:val="22"/>
          <w:szCs w:val="22"/>
        </w:rPr>
        <w:t xml:space="preserve">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recommendations.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These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recommendations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aim </w:t>
      </w:r>
      <w:r w:rsidRPr="004B376F">
        <w:rPr>
          <w:rFonts w:ascii="Arial" w:hAnsi="Arial" w:cs="Arial"/>
          <w:sz w:val="22"/>
          <w:szCs w:val="22"/>
        </w:rPr>
        <w:t xml:space="preserve">to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ensure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that future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government projects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give due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consideration </w:t>
      </w:r>
      <w:r w:rsidRPr="004B376F">
        <w:rPr>
          <w:rFonts w:ascii="Arial" w:hAnsi="Arial" w:cs="Arial"/>
          <w:sz w:val="22"/>
          <w:szCs w:val="22"/>
        </w:rPr>
        <w:t xml:space="preserve">to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accessibility requirements </w:t>
      </w:r>
      <w:r w:rsidRPr="004B376F">
        <w:rPr>
          <w:rFonts w:ascii="Arial" w:hAnsi="Arial" w:cs="Arial"/>
          <w:spacing w:val="-3"/>
          <w:sz w:val="22"/>
          <w:szCs w:val="22"/>
        </w:rPr>
        <w:t>and</w:t>
      </w:r>
      <w:r w:rsidRPr="004B376F">
        <w:rPr>
          <w:rFonts w:ascii="Arial" w:hAnsi="Arial" w:cs="Arial"/>
          <w:spacing w:val="-13"/>
          <w:sz w:val="22"/>
          <w:szCs w:val="22"/>
        </w:rPr>
        <w:t xml:space="preserve"> </w:t>
      </w:r>
      <w:r w:rsidRPr="004B376F">
        <w:rPr>
          <w:rFonts w:ascii="Arial" w:hAnsi="Arial" w:cs="Arial"/>
          <w:spacing w:val="-4"/>
          <w:sz w:val="22"/>
          <w:szCs w:val="22"/>
        </w:rPr>
        <w:t>functionality.</w:t>
      </w:r>
    </w:p>
    <w:p w14:paraId="0480CDBA" w14:textId="77777777" w:rsidR="003A0B47" w:rsidRPr="0064011C" w:rsidRDefault="003A0B47" w:rsidP="000D57DA">
      <w:pPr>
        <w:pStyle w:val="ListParagraph"/>
        <w:widowControl w:val="0"/>
        <w:numPr>
          <w:ilvl w:val="0"/>
          <w:numId w:val="11"/>
        </w:numPr>
        <w:tabs>
          <w:tab w:val="left" w:pos="582"/>
        </w:tabs>
        <w:autoSpaceDE w:val="0"/>
        <w:autoSpaceDN w:val="0"/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B376F">
        <w:rPr>
          <w:rFonts w:ascii="Arial" w:hAnsi="Arial" w:cs="Arial"/>
          <w:spacing w:val="-4"/>
          <w:sz w:val="22"/>
          <w:szCs w:val="22"/>
        </w:rPr>
        <w:t xml:space="preserve">Recommendations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have been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considered </w:t>
      </w:r>
      <w:r w:rsidRPr="004B376F">
        <w:rPr>
          <w:rFonts w:ascii="Arial" w:hAnsi="Arial" w:cs="Arial"/>
          <w:sz w:val="22"/>
          <w:szCs w:val="22"/>
        </w:rPr>
        <w:t xml:space="preserve">by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the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relevant lead </w:t>
      </w:r>
      <w:r w:rsidRPr="004B376F">
        <w:rPr>
          <w:rFonts w:ascii="Arial" w:hAnsi="Arial" w:cs="Arial"/>
          <w:spacing w:val="-3"/>
          <w:sz w:val="22"/>
          <w:szCs w:val="22"/>
        </w:rPr>
        <w:t>agenc</w:t>
      </w:r>
      <w:r>
        <w:rPr>
          <w:rFonts w:ascii="Arial" w:hAnsi="Arial" w:cs="Arial"/>
          <w:spacing w:val="-3"/>
          <w:sz w:val="22"/>
          <w:szCs w:val="22"/>
        </w:rPr>
        <w:t>ies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 </w:t>
      </w:r>
      <w:r w:rsidRPr="004B376F">
        <w:rPr>
          <w:rFonts w:ascii="Arial" w:hAnsi="Arial" w:cs="Arial"/>
          <w:sz w:val="22"/>
          <w:szCs w:val="22"/>
        </w:rPr>
        <w:t xml:space="preserve">and an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implementation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plan put into place.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Actions identified will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ensure </w:t>
      </w:r>
      <w:r w:rsidRPr="004B376F">
        <w:rPr>
          <w:rFonts w:ascii="Arial" w:hAnsi="Arial" w:cs="Arial"/>
          <w:sz w:val="22"/>
          <w:szCs w:val="22"/>
        </w:rPr>
        <w:t xml:space="preserve">key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decision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makers </w:t>
      </w:r>
      <w:r w:rsidRPr="004B376F">
        <w:rPr>
          <w:rFonts w:ascii="Arial" w:hAnsi="Arial" w:cs="Arial"/>
          <w:sz w:val="22"/>
          <w:szCs w:val="22"/>
        </w:rPr>
        <w:t xml:space="preserve">are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equipped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with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adequate information </w:t>
      </w:r>
      <w:r w:rsidRPr="004B376F">
        <w:rPr>
          <w:rFonts w:ascii="Arial" w:hAnsi="Arial" w:cs="Arial"/>
          <w:sz w:val="22"/>
          <w:szCs w:val="22"/>
        </w:rPr>
        <w:t xml:space="preserve">to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make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informed decisions relating </w:t>
      </w:r>
      <w:r w:rsidRPr="004B376F">
        <w:rPr>
          <w:rFonts w:ascii="Arial" w:hAnsi="Arial" w:cs="Arial"/>
          <w:sz w:val="22"/>
          <w:szCs w:val="22"/>
        </w:rPr>
        <w:t xml:space="preserve">to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accessibility legislation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and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functional requirements.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This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includes consultation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with </w:t>
      </w:r>
      <w:r w:rsidRPr="004B376F">
        <w:rPr>
          <w:rFonts w:ascii="Arial" w:hAnsi="Arial" w:cs="Arial"/>
          <w:sz w:val="22"/>
          <w:szCs w:val="22"/>
        </w:rPr>
        <w:t xml:space="preserve">the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disability sector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at </w:t>
      </w:r>
      <w:r w:rsidRPr="004B376F">
        <w:rPr>
          <w:rFonts w:ascii="Arial" w:hAnsi="Arial" w:cs="Arial"/>
          <w:sz w:val="22"/>
          <w:szCs w:val="22"/>
        </w:rPr>
        <w:t xml:space="preserve">key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relevant milestones during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the life of </w:t>
      </w:r>
      <w:r w:rsidRPr="004B376F">
        <w:rPr>
          <w:rFonts w:ascii="Arial" w:hAnsi="Arial" w:cs="Arial"/>
          <w:sz w:val="22"/>
          <w:szCs w:val="22"/>
        </w:rPr>
        <w:t>a</w:t>
      </w:r>
      <w:r w:rsidRPr="004B376F">
        <w:rPr>
          <w:rFonts w:ascii="Arial" w:hAnsi="Arial" w:cs="Arial"/>
          <w:spacing w:val="-21"/>
          <w:sz w:val="22"/>
          <w:szCs w:val="22"/>
        </w:rPr>
        <w:t xml:space="preserve"> </w:t>
      </w:r>
      <w:r w:rsidRPr="004B376F">
        <w:rPr>
          <w:rFonts w:ascii="Arial" w:hAnsi="Arial" w:cs="Arial"/>
          <w:spacing w:val="-4"/>
          <w:sz w:val="22"/>
          <w:szCs w:val="22"/>
        </w:rPr>
        <w:t>project.</w:t>
      </w:r>
    </w:p>
    <w:p w14:paraId="0480CDBB" w14:textId="67D3ECCB" w:rsidR="003A0B47" w:rsidRPr="0064011C" w:rsidRDefault="003A0B47" w:rsidP="000D57DA">
      <w:pPr>
        <w:pStyle w:val="ListParagraph"/>
        <w:widowControl w:val="0"/>
        <w:numPr>
          <w:ilvl w:val="0"/>
          <w:numId w:val="11"/>
        </w:numPr>
        <w:tabs>
          <w:tab w:val="left" w:pos="582"/>
        </w:tabs>
        <w:autoSpaceDE w:val="0"/>
        <w:autoSpaceDN w:val="0"/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B376F">
        <w:rPr>
          <w:rFonts w:ascii="Arial" w:hAnsi="Arial" w:cs="Arial"/>
          <w:sz w:val="22"/>
          <w:szCs w:val="22"/>
        </w:rPr>
        <w:t xml:space="preserve">As at </w:t>
      </w:r>
      <w:r w:rsidRPr="004B376F">
        <w:rPr>
          <w:rFonts w:ascii="Arial" w:hAnsi="Arial" w:cs="Arial"/>
          <w:spacing w:val="-3"/>
          <w:sz w:val="22"/>
          <w:szCs w:val="22"/>
        </w:rPr>
        <w:t>March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 2020, 23 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of the </w:t>
      </w:r>
      <w:r w:rsidRPr="004B376F">
        <w:rPr>
          <w:rFonts w:ascii="Arial" w:hAnsi="Arial" w:cs="Arial"/>
          <w:sz w:val="22"/>
          <w:szCs w:val="22"/>
        </w:rPr>
        <w:t>24</w:t>
      </w:r>
      <w:r w:rsidRPr="004B376F">
        <w:rPr>
          <w:rFonts w:ascii="Arial" w:hAnsi="Arial" w:cs="Arial"/>
          <w:spacing w:val="-31"/>
          <w:sz w:val="22"/>
          <w:szCs w:val="22"/>
        </w:rPr>
        <w:t xml:space="preserve"> </w:t>
      </w:r>
      <w:r w:rsidRPr="004B376F">
        <w:rPr>
          <w:rFonts w:ascii="Arial" w:hAnsi="Arial" w:cs="Arial"/>
          <w:spacing w:val="-4"/>
          <w:sz w:val="22"/>
          <w:szCs w:val="22"/>
        </w:rPr>
        <w:t>recommendations ha</w:t>
      </w:r>
      <w:r w:rsidR="000D57DA">
        <w:rPr>
          <w:rFonts w:ascii="Arial" w:hAnsi="Arial" w:cs="Arial"/>
          <w:spacing w:val="-4"/>
          <w:sz w:val="22"/>
          <w:szCs w:val="22"/>
        </w:rPr>
        <w:t>d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 been implemented.</w:t>
      </w:r>
    </w:p>
    <w:p w14:paraId="0480CDBC" w14:textId="2BD2C984" w:rsidR="003A0B47" w:rsidRPr="0064011C" w:rsidRDefault="003A0B47" w:rsidP="000D57DA">
      <w:pPr>
        <w:pStyle w:val="ListParagraph"/>
        <w:widowControl w:val="0"/>
        <w:numPr>
          <w:ilvl w:val="0"/>
          <w:numId w:val="11"/>
        </w:numPr>
        <w:tabs>
          <w:tab w:val="left" w:pos="582"/>
        </w:tabs>
        <w:autoSpaceDE w:val="0"/>
        <w:autoSpaceDN w:val="0"/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B376F">
        <w:rPr>
          <w:rFonts w:ascii="Arial" w:hAnsi="Arial" w:cs="Arial"/>
          <w:spacing w:val="-4"/>
          <w:sz w:val="22"/>
          <w:szCs w:val="22"/>
          <w:u w:val="single"/>
        </w:rPr>
        <w:t xml:space="preserve">Cabinet </w:t>
      </w:r>
      <w:r w:rsidRPr="004B376F">
        <w:rPr>
          <w:rFonts w:ascii="Arial" w:hAnsi="Arial" w:cs="Arial"/>
          <w:spacing w:val="-3"/>
          <w:sz w:val="22"/>
          <w:szCs w:val="22"/>
          <w:u w:val="single"/>
        </w:rPr>
        <w:t>noted</w:t>
      </w:r>
      <w:r w:rsidRPr="004B376F">
        <w:rPr>
          <w:rFonts w:ascii="Arial" w:hAnsi="Arial" w:cs="Arial"/>
          <w:spacing w:val="-3"/>
          <w:sz w:val="22"/>
          <w:szCs w:val="22"/>
        </w:rPr>
        <w:t xml:space="preserve"> </w:t>
      </w:r>
      <w:r w:rsidRPr="004B376F">
        <w:rPr>
          <w:rFonts w:ascii="Arial" w:hAnsi="Arial" w:cs="Arial"/>
          <w:sz w:val="22"/>
          <w:szCs w:val="22"/>
        </w:rPr>
        <w:t xml:space="preserve">the 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implementation </w:t>
      </w:r>
      <w:r w:rsidRPr="004B376F">
        <w:rPr>
          <w:rFonts w:ascii="Arial" w:hAnsi="Arial" w:cs="Arial"/>
          <w:spacing w:val="-3"/>
          <w:sz w:val="22"/>
          <w:szCs w:val="22"/>
        </w:rPr>
        <w:t>status</w:t>
      </w:r>
      <w:r w:rsidRPr="004B376F">
        <w:rPr>
          <w:rFonts w:ascii="Arial" w:hAnsi="Arial" w:cs="Arial"/>
          <w:spacing w:val="-25"/>
          <w:sz w:val="22"/>
          <w:szCs w:val="22"/>
        </w:rPr>
        <w:t xml:space="preserve"> </w:t>
      </w:r>
      <w:r w:rsidRPr="004B376F">
        <w:rPr>
          <w:rFonts w:ascii="Arial" w:hAnsi="Arial" w:cs="Arial"/>
          <w:spacing w:val="-4"/>
          <w:sz w:val="22"/>
          <w:szCs w:val="22"/>
        </w:rPr>
        <w:t>updates for the 24 recommendations resulting from the N</w:t>
      </w:r>
      <w:r w:rsidR="0039004D">
        <w:rPr>
          <w:rFonts w:ascii="Arial" w:hAnsi="Arial" w:cs="Arial"/>
          <w:spacing w:val="-4"/>
          <w:sz w:val="22"/>
          <w:szCs w:val="22"/>
        </w:rPr>
        <w:t xml:space="preserve">ew </w:t>
      </w:r>
      <w:r w:rsidRPr="004B376F">
        <w:rPr>
          <w:rFonts w:ascii="Arial" w:hAnsi="Arial" w:cs="Arial"/>
          <w:spacing w:val="-4"/>
          <w:sz w:val="22"/>
          <w:szCs w:val="22"/>
        </w:rPr>
        <w:t>G</w:t>
      </w:r>
      <w:r w:rsidR="002350AE">
        <w:rPr>
          <w:rFonts w:ascii="Arial" w:hAnsi="Arial" w:cs="Arial"/>
          <w:spacing w:val="-4"/>
          <w:sz w:val="22"/>
          <w:szCs w:val="22"/>
        </w:rPr>
        <w:t xml:space="preserve">eneration </w:t>
      </w:r>
      <w:r w:rsidRPr="004B376F">
        <w:rPr>
          <w:rFonts w:ascii="Arial" w:hAnsi="Arial" w:cs="Arial"/>
          <w:spacing w:val="-4"/>
          <w:sz w:val="22"/>
          <w:szCs w:val="22"/>
        </w:rPr>
        <w:t>R</w:t>
      </w:r>
      <w:r w:rsidR="002350AE">
        <w:rPr>
          <w:rFonts w:ascii="Arial" w:hAnsi="Arial" w:cs="Arial"/>
          <w:spacing w:val="-4"/>
          <w:sz w:val="22"/>
          <w:szCs w:val="22"/>
        </w:rPr>
        <w:t>ollingstock Train</w:t>
      </w:r>
      <w:r w:rsidRPr="004B376F">
        <w:rPr>
          <w:rFonts w:ascii="Arial" w:hAnsi="Arial" w:cs="Arial"/>
          <w:spacing w:val="-4"/>
          <w:sz w:val="22"/>
          <w:szCs w:val="22"/>
        </w:rPr>
        <w:t xml:space="preserve"> Commission of Inquiry.</w:t>
      </w:r>
    </w:p>
    <w:p w14:paraId="0480CDBE" w14:textId="0022F593" w:rsidR="003A0B47" w:rsidRDefault="003A0B47" w:rsidP="000D57DA">
      <w:pPr>
        <w:numPr>
          <w:ilvl w:val="0"/>
          <w:numId w:val="11"/>
        </w:numPr>
        <w:spacing w:before="36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376F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10DFD003" w14:textId="0A59702E" w:rsidR="00B85CE6" w:rsidRPr="00856E65" w:rsidRDefault="00856E65" w:rsidP="000D57DA">
      <w:pPr>
        <w:pStyle w:val="ListParagraph"/>
        <w:numPr>
          <w:ilvl w:val="0"/>
          <w:numId w:val="14"/>
        </w:numPr>
        <w:spacing w:before="120"/>
        <w:ind w:left="709" w:hanging="283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B85CE6" w:rsidRPr="00856E65" w:rsidSect="00A153C5">
      <w:headerReference w:type="default" r:id="rId10"/>
      <w:footerReference w:type="default" r:id="rId11"/>
      <w:headerReference w:type="first" r:id="rId12"/>
      <w:pgSz w:w="11907" w:h="16840" w:code="9"/>
      <w:pgMar w:top="1134" w:right="1134" w:bottom="1134" w:left="1134" w:header="709" w:footer="709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E5560" w14:textId="77777777" w:rsidR="00D5231F" w:rsidRDefault="00D5231F">
      <w:r>
        <w:separator/>
      </w:r>
    </w:p>
  </w:endnote>
  <w:endnote w:type="continuationSeparator" w:id="0">
    <w:p w14:paraId="5723DCE1" w14:textId="77777777" w:rsidR="00D5231F" w:rsidRDefault="00D5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0CDCA" w14:textId="77777777" w:rsidR="003D4F4B" w:rsidRPr="001141E1" w:rsidRDefault="009B511F" w:rsidP="00745F4C">
    <w:pPr>
      <w:pStyle w:val="Footer"/>
      <w:tabs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A5E51" w14:textId="77777777" w:rsidR="00D5231F" w:rsidRDefault="00D5231F">
      <w:r>
        <w:separator/>
      </w:r>
    </w:p>
  </w:footnote>
  <w:footnote w:type="continuationSeparator" w:id="0">
    <w:p w14:paraId="0F647B22" w14:textId="77777777" w:rsidR="00D5231F" w:rsidRDefault="00D5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0CDC9" w14:textId="77777777" w:rsidR="003D4F4B" w:rsidRPr="00F10DF9" w:rsidRDefault="009C3715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BC5C3" w14:textId="77777777" w:rsidR="0004500D" w:rsidRPr="00937A4A" w:rsidRDefault="0004500D" w:rsidP="0004500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13E8D1F" w14:textId="77777777" w:rsidR="0004500D" w:rsidRPr="00937A4A" w:rsidRDefault="0004500D" w:rsidP="0004500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7B8E2D0" w14:textId="5C5C9635" w:rsidR="0004500D" w:rsidRPr="00937A4A" w:rsidRDefault="0004500D" w:rsidP="0004500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12134">
      <w:rPr>
        <w:rFonts w:ascii="Arial" w:hAnsi="Arial" w:cs="Arial"/>
        <w:b/>
        <w:color w:val="auto"/>
        <w:sz w:val="22"/>
        <w:szCs w:val="22"/>
        <w:lang w:eastAsia="en-US"/>
      </w:rPr>
      <w:t>April 2020</w:t>
    </w:r>
  </w:p>
  <w:p w14:paraId="5AE2057A" w14:textId="417663AB" w:rsidR="0004500D" w:rsidRDefault="00E12134" w:rsidP="0004500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Implementation </w:t>
    </w:r>
    <w:r w:rsidR="00370E04" w:rsidRPr="00370E04">
      <w:rPr>
        <w:rFonts w:ascii="Arial" w:hAnsi="Arial" w:cs="Arial"/>
        <w:b/>
        <w:sz w:val="22"/>
        <w:szCs w:val="22"/>
        <w:u w:val="single"/>
      </w:rPr>
      <w:t>status of recommendations from the New Generation Rollingstock Train Commission of Inquiry</w:t>
    </w:r>
  </w:p>
  <w:p w14:paraId="2BF8F0D7" w14:textId="074AEA61" w:rsidR="0004500D" w:rsidRDefault="0004500D" w:rsidP="0004500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370E04">
      <w:rPr>
        <w:rFonts w:ascii="Arial" w:hAnsi="Arial" w:cs="Arial"/>
        <w:b/>
        <w:sz w:val="22"/>
        <w:szCs w:val="22"/>
        <w:u w:val="single"/>
      </w:rPr>
      <w:t xml:space="preserve"> for Transport and Main Roads</w:t>
    </w:r>
  </w:p>
  <w:p w14:paraId="083C2194" w14:textId="77777777" w:rsidR="0004500D" w:rsidRPr="000D57DA" w:rsidRDefault="0004500D" w:rsidP="0004500D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569AC0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610C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02DC0D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DB43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5169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9AEF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154E8B"/>
    <w:multiLevelType w:val="multilevel"/>
    <w:tmpl w:val="9DEC0E9C"/>
    <w:name w:val="Number List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7" w15:restartNumberingAfterBreak="0">
    <w:nsid w:val="17B70462"/>
    <w:multiLevelType w:val="hybridMultilevel"/>
    <w:tmpl w:val="BBB6B212"/>
    <w:lvl w:ilvl="0" w:tplc="0172ADC8">
      <w:start w:val="1"/>
      <w:numFmt w:val="bullet"/>
      <w:lvlText w:val=""/>
      <w:lvlJc w:val="left"/>
      <w:pPr>
        <w:ind w:left="1637" w:hanging="360"/>
      </w:pPr>
      <w:rPr>
        <w:rFonts w:ascii="Arial" w:hAnsi="Arial" w:cs="Aria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35E961D3"/>
    <w:multiLevelType w:val="singleLevel"/>
    <w:tmpl w:val="8D30029E"/>
    <w:name w:val="Bullet List 3"/>
    <w:lvl w:ilvl="0">
      <w:start w:val="1"/>
      <w:numFmt w:val="bullet"/>
      <w:lvlRestart w:val="0"/>
      <w:pStyle w:val="List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9" w15:restartNumberingAfterBreak="0">
    <w:nsid w:val="394547C7"/>
    <w:multiLevelType w:val="hybridMultilevel"/>
    <w:tmpl w:val="CB96DAB2"/>
    <w:lvl w:ilvl="0" w:tplc="7480F51A">
      <w:start w:val="1"/>
      <w:numFmt w:val="decimal"/>
      <w:lvlText w:val="%1."/>
      <w:lvlJc w:val="left"/>
      <w:pPr>
        <w:ind w:left="584" w:hanging="356"/>
      </w:pPr>
      <w:rPr>
        <w:rFonts w:ascii="Arial" w:eastAsia="Arial" w:hAnsi="Arial" w:cs="Arial" w:hint="default"/>
        <w:spacing w:val="-3"/>
        <w:w w:val="100"/>
        <w:sz w:val="22"/>
        <w:szCs w:val="22"/>
        <w:lang w:val="en-AU" w:eastAsia="en-AU" w:bidi="en-AU"/>
      </w:rPr>
    </w:lvl>
    <w:lvl w:ilvl="1" w:tplc="956CFAFE">
      <w:numFmt w:val="bullet"/>
      <w:lvlText w:val=""/>
      <w:lvlJc w:val="left"/>
      <w:pPr>
        <w:ind w:left="942" w:hanging="358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79589DC4">
      <w:numFmt w:val="bullet"/>
      <w:lvlText w:val="•"/>
      <w:lvlJc w:val="left"/>
      <w:pPr>
        <w:ind w:left="1925" w:hanging="358"/>
      </w:pPr>
      <w:rPr>
        <w:rFonts w:hint="default"/>
        <w:lang w:val="en-AU" w:eastAsia="en-AU" w:bidi="en-AU"/>
      </w:rPr>
    </w:lvl>
    <w:lvl w:ilvl="3" w:tplc="D2CA1AA6">
      <w:numFmt w:val="bullet"/>
      <w:lvlText w:val="•"/>
      <w:lvlJc w:val="left"/>
      <w:pPr>
        <w:ind w:left="2910" w:hanging="358"/>
      </w:pPr>
      <w:rPr>
        <w:rFonts w:hint="default"/>
        <w:lang w:val="en-AU" w:eastAsia="en-AU" w:bidi="en-AU"/>
      </w:rPr>
    </w:lvl>
    <w:lvl w:ilvl="4" w:tplc="B5527C88">
      <w:numFmt w:val="bullet"/>
      <w:lvlText w:val="•"/>
      <w:lvlJc w:val="left"/>
      <w:pPr>
        <w:ind w:left="3895" w:hanging="358"/>
      </w:pPr>
      <w:rPr>
        <w:rFonts w:hint="default"/>
        <w:lang w:val="en-AU" w:eastAsia="en-AU" w:bidi="en-AU"/>
      </w:rPr>
    </w:lvl>
    <w:lvl w:ilvl="5" w:tplc="0ED6A6BC">
      <w:numFmt w:val="bullet"/>
      <w:lvlText w:val="•"/>
      <w:lvlJc w:val="left"/>
      <w:pPr>
        <w:ind w:left="4880" w:hanging="358"/>
      </w:pPr>
      <w:rPr>
        <w:rFonts w:hint="default"/>
        <w:lang w:val="en-AU" w:eastAsia="en-AU" w:bidi="en-AU"/>
      </w:rPr>
    </w:lvl>
    <w:lvl w:ilvl="6" w:tplc="F37A2A80">
      <w:numFmt w:val="bullet"/>
      <w:lvlText w:val="•"/>
      <w:lvlJc w:val="left"/>
      <w:pPr>
        <w:ind w:left="5865" w:hanging="358"/>
      </w:pPr>
      <w:rPr>
        <w:rFonts w:hint="default"/>
        <w:lang w:val="en-AU" w:eastAsia="en-AU" w:bidi="en-AU"/>
      </w:rPr>
    </w:lvl>
    <w:lvl w:ilvl="7" w:tplc="BF026362">
      <w:numFmt w:val="bullet"/>
      <w:lvlText w:val="•"/>
      <w:lvlJc w:val="left"/>
      <w:pPr>
        <w:ind w:left="6850" w:hanging="358"/>
      </w:pPr>
      <w:rPr>
        <w:rFonts w:hint="default"/>
        <w:lang w:val="en-AU" w:eastAsia="en-AU" w:bidi="en-AU"/>
      </w:rPr>
    </w:lvl>
    <w:lvl w:ilvl="8" w:tplc="18780A1E">
      <w:numFmt w:val="bullet"/>
      <w:lvlText w:val="•"/>
      <w:lvlJc w:val="left"/>
      <w:pPr>
        <w:ind w:left="7836" w:hanging="358"/>
      </w:pPr>
      <w:rPr>
        <w:rFonts w:hint="default"/>
        <w:lang w:val="en-AU" w:eastAsia="en-AU" w:bidi="en-AU"/>
      </w:rPr>
    </w:lvl>
  </w:abstractNum>
  <w:abstractNum w:abstractNumId="10" w15:restartNumberingAfterBreak="0">
    <w:nsid w:val="46864E4F"/>
    <w:multiLevelType w:val="hybridMultilevel"/>
    <w:tmpl w:val="F8C8CE48"/>
    <w:lvl w:ilvl="0" w:tplc="0C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1" w15:restartNumberingAfterBreak="0">
    <w:nsid w:val="54F341B4"/>
    <w:multiLevelType w:val="hybridMultilevel"/>
    <w:tmpl w:val="5AA8700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2" w15:restartNumberingAfterBreak="0">
    <w:nsid w:val="610C4D7E"/>
    <w:multiLevelType w:val="singleLevel"/>
    <w:tmpl w:val="D042ED2E"/>
    <w:name w:val="Bullet List 2"/>
    <w:lvl w:ilvl="0">
      <w:start w:val="1"/>
      <w:numFmt w:val="bullet"/>
      <w:lvlRestart w:val="0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abstractNum w:abstractNumId="13" w15:restartNumberingAfterBreak="0">
    <w:nsid w:val="7D527A89"/>
    <w:multiLevelType w:val="singleLevel"/>
    <w:tmpl w:val="EC8AED9A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7"/>
    <w:rsid w:val="0004500D"/>
    <w:rsid w:val="000D57DA"/>
    <w:rsid w:val="002350AE"/>
    <w:rsid w:val="00361806"/>
    <w:rsid w:val="00370E04"/>
    <w:rsid w:val="0039004D"/>
    <w:rsid w:val="003A0B47"/>
    <w:rsid w:val="0064011C"/>
    <w:rsid w:val="0067692A"/>
    <w:rsid w:val="00695D24"/>
    <w:rsid w:val="007A18DA"/>
    <w:rsid w:val="00856E65"/>
    <w:rsid w:val="0091112D"/>
    <w:rsid w:val="009B511F"/>
    <w:rsid w:val="009C3715"/>
    <w:rsid w:val="00A153C5"/>
    <w:rsid w:val="00B1404F"/>
    <w:rsid w:val="00B85CE6"/>
    <w:rsid w:val="00C5467D"/>
    <w:rsid w:val="00C63276"/>
    <w:rsid w:val="00D50FA6"/>
    <w:rsid w:val="00D5231F"/>
    <w:rsid w:val="00E1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C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50FA6"/>
    <w:pPr>
      <w:spacing w:after="12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D50FA6"/>
    <w:rPr>
      <w:rFonts w:ascii="Arial" w:hAnsi="Arial" w:cs="Arial"/>
    </w:rPr>
  </w:style>
  <w:style w:type="paragraph" w:styleId="Footer">
    <w:name w:val="footer"/>
    <w:basedOn w:val="BodyText"/>
    <w:link w:val="FooterChar"/>
    <w:uiPriority w:val="99"/>
    <w:unhideWhenUsed/>
    <w:rsid w:val="00D50FA6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D50FA6"/>
    <w:rPr>
      <w:rFonts w:ascii="Arial" w:hAnsi="Arial" w:cs="Arial"/>
      <w:sz w:val="15"/>
    </w:rPr>
  </w:style>
  <w:style w:type="paragraph" w:styleId="Header">
    <w:name w:val="header"/>
    <w:basedOn w:val="BodyText"/>
    <w:link w:val="HeaderChar"/>
    <w:uiPriority w:val="99"/>
    <w:unhideWhenUsed/>
    <w:rsid w:val="00D50FA6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D50FA6"/>
    <w:rPr>
      <w:rFonts w:ascii="Arial" w:hAnsi="Arial" w:cs="Arial"/>
      <w:sz w:val="15"/>
    </w:rPr>
  </w:style>
  <w:style w:type="paragraph" w:customStyle="1" w:styleId="Header2">
    <w:name w:val="Header 2"/>
    <w:basedOn w:val="Header"/>
    <w:link w:val="Header2Char"/>
    <w:rsid w:val="00D50FA6"/>
    <w:pPr>
      <w:pBdr>
        <w:bottom w:val="single" w:sz="4" w:space="4" w:color="auto"/>
      </w:pBdr>
    </w:pPr>
  </w:style>
  <w:style w:type="character" w:customStyle="1" w:styleId="Header2Char">
    <w:name w:val="Header 2 Char"/>
    <w:basedOn w:val="DefaultParagraphFont"/>
    <w:link w:val="Header2"/>
    <w:rsid w:val="00D50FA6"/>
    <w:rPr>
      <w:rFonts w:ascii="Arial" w:hAnsi="Arial" w:cs="Arial"/>
      <w:sz w:val="15"/>
    </w:rPr>
  </w:style>
  <w:style w:type="paragraph" w:customStyle="1" w:styleId="Footer2">
    <w:name w:val="Footer 2"/>
    <w:basedOn w:val="Footer"/>
    <w:link w:val="Footer2Char"/>
    <w:rsid w:val="00D50FA6"/>
    <w:pPr>
      <w:pBdr>
        <w:top w:val="single" w:sz="4" w:space="4" w:color="auto"/>
      </w:pBdr>
    </w:pPr>
  </w:style>
  <w:style w:type="character" w:customStyle="1" w:styleId="Footer2Char">
    <w:name w:val="Footer 2 Char"/>
    <w:basedOn w:val="DefaultParagraphFont"/>
    <w:link w:val="Footer2"/>
    <w:rsid w:val="00D50FA6"/>
    <w:rPr>
      <w:rFonts w:ascii="Arial" w:hAnsi="Arial" w:cs="Arial"/>
      <w:sz w:val="15"/>
    </w:rPr>
  </w:style>
  <w:style w:type="paragraph" w:styleId="ListNumber">
    <w:name w:val="List Number"/>
    <w:basedOn w:val="BodyText"/>
    <w:uiPriority w:val="99"/>
    <w:semiHidden/>
    <w:unhideWhenUsed/>
    <w:rsid w:val="00D50FA6"/>
    <w:pPr>
      <w:numPr>
        <w:numId w:val="2"/>
      </w:numPr>
      <w:contextualSpacing/>
    </w:pPr>
  </w:style>
  <w:style w:type="paragraph" w:styleId="ListNumber2">
    <w:name w:val="List Number 2"/>
    <w:basedOn w:val="BodyText"/>
    <w:uiPriority w:val="99"/>
    <w:semiHidden/>
    <w:unhideWhenUsed/>
    <w:rsid w:val="00D50FA6"/>
    <w:pPr>
      <w:numPr>
        <w:ilvl w:val="1"/>
        <w:numId w:val="2"/>
      </w:numPr>
      <w:contextualSpacing/>
    </w:pPr>
  </w:style>
  <w:style w:type="paragraph" w:styleId="ListNumber3">
    <w:name w:val="List Number 3"/>
    <w:basedOn w:val="BodyText"/>
    <w:uiPriority w:val="99"/>
    <w:semiHidden/>
    <w:unhideWhenUsed/>
    <w:rsid w:val="00D50FA6"/>
    <w:pPr>
      <w:numPr>
        <w:ilvl w:val="2"/>
        <w:numId w:val="2"/>
      </w:numPr>
      <w:tabs>
        <w:tab w:val="clear" w:pos="720"/>
        <w:tab w:val="num" w:pos="850"/>
      </w:tabs>
      <w:ind w:left="850" w:hanging="850"/>
      <w:contextualSpacing/>
    </w:pPr>
  </w:style>
  <w:style w:type="paragraph" w:styleId="ListBullet">
    <w:name w:val="List Bullet"/>
    <w:basedOn w:val="BodyText"/>
    <w:uiPriority w:val="99"/>
    <w:semiHidden/>
    <w:unhideWhenUsed/>
    <w:rsid w:val="00D50FA6"/>
    <w:pPr>
      <w:numPr>
        <w:numId w:val="6"/>
      </w:numPr>
      <w:contextualSpacing/>
    </w:pPr>
  </w:style>
  <w:style w:type="paragraph" w:styleId="ListBullet2">
    <w:name w:val="List Bullet 2"/>
    <w:basedOn w:val="BodyText"/>
    <w:uiPriority w:val="99"/>
    <w:semiHidden/>
    <w:unhideWhenUsed/>
    <w:rsid w:val="00D50FA6"/>
    <w:pPr>
      <w:numPr>
        <w:numId w:val="8"/>
      </w:numPr>
      <w:contextualSpacing/>
    </w:pPr>
  </w:style>
  <w:style w:type="paragraph" w:styleId="ListBullet3">
    <w:name w:val="List Bullet 3"/>
    <w:basedOn w:val="BodyText"/>
    <w:uiPriority w:val="99"/>
    <w:semiHidden/>
    <w:unhideWhenUsed/>
    <w:rsid w:val="00D50FA6"/>
    <w:pPr>
      <w:numPr>
        <w:numId w:val="10"/>
      </w:numPr>
      <w:contextualSpacing/>
    </w:pPr>
  </w:style>
  <w:style w:type="paragraph" w:styleId="EnvelopeAddress">
    <w:name w:val="envelope address"/>
    <w:basedOn w:val="BodyText"/>
    <w:uiPriority w:val="99"/>
    <w:semiHidden/>
    <w:unhideWhenUsed/>
    <w:rsid w:val="00D50FA6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Cs w:val="24"/>
    </w:rPr>
  </w:style>
  <w:style w:type="character" w:styleId="Hyperlink">
    <w:name w:val="Hyperlink"/>
    <w:unhideWhenUsed/>
    <w:rsid w:val="003A0B47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3A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17244-C8E3-4F38-A065-9CA9BB7F8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4F984-6D8C-4570-A5EE-DA1D04C05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4C4EF-F14A-4637-AFF8-05B368D36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1185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Base>https://www.cabinet.qld.gov.au/documents/2020/Apr/NRG/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dcterms:created xsi:type="dcterms:W3CDTF">2020-03-17T07:25:00Z</dcterms:created>
  <dcterms:modified xsi:type="dcterms:W3CDTF">2020-09-22T23:07:00Z</dcterms:modified>
  <cp:category>Rail,Transport,Disability_Services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